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65CF2" w14:textId="77777777" w:rsidR="00344EB4" w:rsidRDefault="00344EB4" w:rsidP="00344EB4">
      <w:r>
        <w:rPr>
          <w:noProof/>
          <w:sz w:val="88"/>
          <w:szCs w:val="88"/>
        </w:rPr>
        <w:drawing>
          <wp:anchor distT="0" distB="0" distL="114300" distR="114300" simplePos="0" relativeHeight="251660288" behindDoc="1" locked="0" layoutInCell="1" allowOverlap="1" wp14:anchorId="03730BBD" wp14:editId="74E09C1A">
            <wp:simplePos x="0" y="0"/>
            <wp:positionH relativeFrom="margin">
              <wp:align>center</wp:align>
            </wp:positionH>
            <wp:positionV relativeFrom="paragraph">
              <wp:posOffset>30480</wp:posOffset>
            </wp:positionV>
            <wp:extent cx="1874520" cy="305308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4520" cy="3053080"/>
                    </a:xfrm>
                    <a:prstGeom prst="rect">
                      <a:avLst/>
                    </a:prstGeom>
                  </pic:spPr>
                </pic:pic>
              </a:graphicData>
            </a:graphic>
            <wp14:sizeRelH relativeFrom="page">
              <wp14:pctWidth>0</wp14:pctWidth>
            </wp14:sizeRelH>
            <wp14:sizeRelV relativeFrom="page">
              <wp14:pctHeight>0</wp14:pctHeight>
            </wp14:sizeRelV>
          </wp:anchor>
        </w:drawing>
      </w:r>
    </w:p>
    <w:p w14:paraId="05586BDC" w14:textId="77777777" w:rsidR="00344EB4" w:rsidRDefault="00344EB4" w:rsidP="00344EB4"/>
    <w:p w14:paraId="2C2E9663" w14:textId="77777777" w:rsidR="00344EB4" w:rsidRDefault="00344EB4" w:rsidP="00344EB4"/>
    <w:p w14:paraId="124C280A" w14:textId="77777777" w:rsidR="00344EB4" w:rsidRDefault="00344EB4" w:rsidP="00344EB4"/>
    <w:p w14:paraId="0EA8B378" w14:textId="77777777" w:rsidR="00344EB4" w:rsidRDefault="00344EB4" w:rsidP="00344EB4"/>
    <w:p w14:paraId="78F9C008" w14:textId="77777777" w:rsidR="00344EB4" w:rsidRDefault="00344EB4" w:rsidP="00344EB4"/>
    <w:p w14:paraId="2048F103" w14:textId="77777777" w:rsidR="00344EB4" w:rsidRDefault="00344EB4" w:rsidP="00344EB4"/>
    <w:p w14:paraId="2952CE8B" w14:textId="77777777" w:rsidR="00344EB4" w:rsidRDefault="00344EB4" w:rsidP="00344EB4"/>
    <w:p w14:paraId="68CA64CA" w14:textId="77777777" w:rsidR="00344EB4" w:rsidRDefault="00344EB4" w:rsidP="00344EB4"/>
    <w:p w14:paraId="37897F5C" w14:textId="77777777" w:rsidR="00344EB4" w:rsidRDefault="00344EB4" w:rsidP="00344EB4">
      <w:r w:rsidRPr="005E619A">
        <w:rPr>
          <w:noProof/>
          <w:sz w:val="88"/>
          <w:szCs w:val="88"/>
        </w:rPr>
        <mc:AlternateContent>
          <mc:Choice Requires="wps">
            <w:drawing>
              <wp:anchor distT="91440" distB="91440" distL="137160" distR="137160" simplePos="0" relativeHeight="251659264" behindDoc="0" locked="0" layoutInCell="0" allowOverlap="1" wp14:anchorId="665063EA" wp14:editId="67D19A1D">
                <wp:simplePos x="0" y="0"/>
                <wp:positionH relativeFrom="margin">
                  <wp:align>center</wp:align>
                </wp:positionH>
                <wp:positionV relativeFrom="margin">
                  <wp:posOffset>2739390</wp:posOffset>
                </wp:positionV>
                <wp:extent cx="2305050" cy="3836670"/>
                <wp:effectExtent l="0" t="3810" r="15240" b="15240"/>
                <wp:wrapSquare wrapText="bothSides"/>
                <wp:docPr id="306"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05050" cy="3836670"/>
                        </a:xfrm>
                        <a:prstGeom prst="roundRect">
                          <a:avLst>
                            <a:gd name="adj" fmla="val 13032"/>
                          </a:avLst>
                        </a:prstGeom>
                        <a:gradFill flip="none" rotWithShape="1">
                          <a:gsLst>
                            <a:gs pos="0">
                              <a:schemeClr val="accent6">
                                <a:tint val="66000"/>
                                <a:satMod val="160000"/>
                              </a:schemeClr>
                            </a:gs>
                            <a:gs pos="50000">
                              <a:schemeClr val="accent6">
                                <a:tint val="44500"/>
                                <a:satMod val="160000"/>
                              </a:schemeClr>
                            </a:gs>
                            <a:gs pos="100000">
                              <a:schemeClr val="accent6">
                                <a:tint val="23500"/>
                                <a:satMod val="160000"/>
                              </a:schemeClr>
                            </a:gs>
                          </a:gsLst>
                          <a:lin ang="8100000" scaled="1"/>
                          <a:tileRect/>
                        </a:gradFill>
                        <a:ln>
                          <a:solidFill>
                            <a:schemeClr val="accent6"/>
                          </a:solidFill>
                        </a:ln>
                      </wps:spPr>
                      <wps:txbx>
                        <w:txbxContent>
                          <w:p w14:paraId="22BD1BD1" w14:textId="05BCC0B4" w:rsidR="00344EB4" w:rsidRPr="00920E3F" w:rsidRDefault="00344EB4" w:rsidP="00344EB4">
                            <w:pPr>
                              <w:jc w:val="center"/>
                              <w:rPr>
                                <w:rFonts w:eastAsiaTheme="majorEastAsia" w:cstheme="minorHAnsi"/>
                                <w:i/>
                                <w:iCs/>
                                <w:color w:val="000000" w:themeColor="text1"/>
                                <w:sz w:val="48"/>
                                <w:szCs w:val="48"/>
                              </w:rPr>
                            </w:pPr>
                            <w:r>
                              <w:rPr>
                                <w:rFonts w:eastAsiaTheme="majorEastAsia" w:cstheme="minorHAnsi"/>
                                <w:i/>
                                <w:iCs/>
                                <w:color w:val="000000" w:themeColor="text1"/>
                                <w:sz w:val="48"/>
                                <w:szCs w:val="48"/>
                              </w:rPr>
                              <w:t>Correspondence Policy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65063EA" id="AutoShape 2" o:spid="_x0000_s1026" alt="&quot;&quot;" style="position:absolute;margin-left:0;margin-top:215.7pt;width:181.5pt;height:302.1pt;rotation:90;z-index:251659264;visibility:visible;mso-wrap-style:square;mso-width-percent:0;mso-height-percent:0;mso-wrap-distance-left:10.8pt;mso-wrap-distance-top:7.2pt;mso-wrap-distance-right:10.8pt;mso-wrap-distance-bottom:7.2pt;mso-position-horizontal:center;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" o:allowincell="f" fillcolor="#a0cc82 [2137]" strokecolor="#70ad47 [3209]">
                <v:fill color2="#deedd3 [761]" rotate="t" angle="315" colors="0 #aeda9a;.5 #cde6c2;1 #e6f2e1" focus="100%" type="gradient"/>
                <v:textbox>
                  <w:txbxContent>
                    <w:p w14:paraId="22BD1BD1" w14:textId="05BCC0B4" w:rsidR="00344EB4" w:rsidRPr="00920E3F" w:rsidRDefault="00344EB4" w:rsidP="00344EB4">
                      <w:pPr>
                        <w:jc w:val="center"/>
                        <w:rPr>
                          <w:rFonts w:eastAsiaTheme="majorEastAsia" w:cstheme="minorHAnsi"/>
                          <w:i/>
                          <w:iCs/>
                          <w:color w:val="000000" w:themeColor="text1"/>
                          <w:sz w:val="48"/>
                          <w:szCs w:val="48"/>
                        </w:rPr>
                      </w:pPr>
                      <w:r>
                        <w:rPr>
                          <w:rFonts w:eastAsiaTheme="majorEastAsia" w:cstheme="minorHAnsi"/>
                          <w:i/>
                          <w:iCs/>
                          <w:color w:val="000000" w:themeColor="text1"/>
                          <w:sz w:val="48"/>
                          <w:szCs w:val="48"/>
                        </w:rPr>
                        <w:t>Correspondence Policy</w:t>
                      </w:r>
                    </w:p>
                  </w:txbxContent>
                </v:textbox>
                <w10:wrap type="square" anchorx="margin" anchory="margin"/>
              </v:roundrect>
            </w:pict>
          </mc:Fallback>
        </mc:AlternateContent>
      </w:r>
    </w:p>
    <w:p w14:paraId="30E7CE6E" w14:textId="77777777" w:rsidR="00344EB4" w:rsidRDefault="00344EB4" w:rsidP="00344EB4">
      <w:pPr>
        <w:jc w:val="center"/>
        <w:rPr>
          <w:sz w:val="88"/>
          <w:szCs w:val="88"/>
        </w:rPr>
      </w:pPr>
    </w:p>
    <w:p w14:paraId="47E71BEA" w14:textId="77777777" w:rsidR="00344EB4" w:rsidRDefault="00344EB4" w:rsidP="00344EB4">
      <w:pPr>
        <w:jc w:val="center"/>
        <w:rPr>
          <w:sz w:val="88"/>
          <w:szCs w:val="88"/>
        </w:rPr>
      </w:pPr>
    </w:p>
    <w:p w14:paraId="0826C491" w14:textId="77777777" w:rsidR="00344EB4" w:rsidRDefault="00344EB4" w:rsidP="00344EB4">
      <w:pPr>
        <w:jc w:val="center"/>
        <w:rPr>
          <w:sz w:val="88"/>
          <w:szCs w:val="88"/>
        </w:rPr>
      </w:pPr>
    </w:p>
    <w:p w14:paraId="524F9902" w14:textId="77777777" w:rsidR="00344EB4" w:rsidRDefault="00344EB4" w:rsidP="00344EB4">
      <w:pPr>
        <w:jc w:val="center"/>
        <w:rPr>
          <w:sz w:val="88"/>
          <w:szCs w:val="88"/>
        </w:rPr>
      </w:pPr>
    </w:p>
    <w:p w14:paraId="2A406612" w14:textId="77777777" w:rsidR="00503656" w:rsidRDefault="00503656" w:rsidP="00344EB4">
      <w:pPr>
        <w:rPr>
          <w:sz w:val="28"/>
          <w:szCs w:val="28"/>
        </w:rPr>
      </w:pPr>
    </w:p>
    <w:p w14:paraId="0E17278E" w14:textId="77777777" w:rsidR="00503656" w:rsidRDefault="00503656" w:rsidP="00344EB4">
      <w:pPr>
        <w:rPr>
          <w:sz w:val="28"/>
          <w:szCs w:val="28"/>
        </w:rPr>
      </w:pPr>
    </w:p>
    <w:p w14:paraId="434E7DBA" w14:textId="77777777" w:rsidR="00503656" w:rsidRDefault="00503656" w:rsidP="00344EB4">
      <w:pPr>
        <w:rPr>
          <w:sz w:val="28"/>
          <w:szCs w:val="28"/>
        </w:rPr>
      </w:pPr>
    </w:p>
    <w:p w14:paraId="0FA64615" w14:textId="77777777" w:rsidR="00503656" w:rsidRDefault="00503656" w:rsidP="00344EB4">
      <w:pPr>
        <w:rPr>
          <w:sz w:val="28"/>
          <w:szCs w:val="28"/>
        </w:rPr>
      </w:pPr>
    </w:p>
    <w:p w14:paraId="52ADD39E" w14:textId="353A10E1" w:rsidR="00344EB4" w:rsidRDefault="00344EB4" w:rsidP="00344EB4">
      <w:pPr>
        <w:rPr>
          <w:sz w:val="28"/>
          <w:szCs w:val="28"/>
        </w:rPr>
      </w:pPr>
      <w:r>
        <w:rPr>
          <w:sz w:val="28"/>
          <w:szCs w:val="28"/>
        </w:rPr>
        <w:t>Document Configuration Management &amp; Control</w:t>
      </w:r>
    </w:p>
    <w:tbl>
      <w:tblPr>
        <w:tblStyle w:val="TableGrid"/>
        <w:tblW w:w="0" w:type="auto"/>
        <w:tblLook w:val="04A0" w:firstRow="1" w:lastRow="0" w:firstColumn="1" w:lastColumn="0" w:noHBand="0" w:noVBand="1"/>
      </w:tblPr>
      <w:tblGrid>
        <w:gridCol w:w="1696"/>
        <w:gridCol w:w="2127"/>
        <w:gridCol w:w="1586"/>
        <w:gridCol w:w="1803"/>
        <w:gridCol w:w="1804"/>
      </w:tblGrid>
      <w:tr w:rsidR="00344EB4" w14:paraId="4122BB64" w14:textId="77777777" w:rsidTr="00344EB4">
        <w:tc>
          <w:tcPr>
            <w:tcW w:w="1696" w:type="dxa"/>
          </w:tcPr>
          <w:p w14:paraId="719C31D5" w14:textId="77777777" w:rsidR="00344EB4" w:rsidRDefault="00344EB4" w:rsidP="003747A6">
            <w:pPr>
              <w:rPr>
                <w:sz w:val="28"/>
                <w:szCs w:val="28"/>
              </w:rPr>
            </w:pPr>
            <w:r>
              <w:rPr>
                <w:sz w:val="28"/>
                <w:szCs w:val="28"/>
              </w:rPr>
              <w:t>Version</w:t>
            </w:r>
          </w:p>
        </w:tc>
        <w:tc>
          <w:tcPr>
            <w:tcW w:w="2127" w:type="dxa"/>
          </w:tcPr>
          <w:p w14:paraId="1030A5A1" w14:textId="77777777" w:rsidR="00344EB4" w:rsidRDefault="00344EB4" w:rsidP="003747A6">
            <w:pPr>
              <w:rPr>
                <w:sz w:val="28"/>
                <w:szCs w:val="28"/>
              </w:rPr>
            </w:pPr>
            <w:r>
              <w:rPr>
                <w:sz w:val="28"/>
                <w:szCs w:val="28"/>
              </w:rPr>
              <w:t>Description</w:t>
            </w:r>
          </w:p>
        </w:tc>
        <w:tc>
          <w:tcPr>
            <w:tcW w:w="1586" w:type="dxa"/>
          </w:tcPr>
          <w:p w14:paraId="354EBEAC" w14:textId="77777777" w:rsidR="00344EB4" w:rsidRDefault="00344EB4" w:rsidP="003747A6">
            <w:pPr>
              <w:rPr>
                <w:sz w:val="28"/>
                <w:szCs w:val="28"/>
              </w:rPr>
            </w:pPr>
            <w:r>
              <w:rPr>
                <w:sz w:val="28"/>
                <w:szCs w:val="28"/>
              </w:rPr>
              <w:t>Originated</w:t>
            </w:r>
          </w:p>
        </w:tc>
        <w:tc>
          <w:tcPr>
            <w:tcW w:w="1803" w:type="dxa"/>
          </w:tcPr>
          <w:p w14:paraId="28F59444" w14:textId="77777777" w:rsidR="00344EB4" w:rsidRDefault="00344EB4" w:rsidP="003747A6">
            <w:pPr>
              <w:rPr>
                <w:sz w:val="28"/>
                <w:szCs w:val="28"/>
              </w:rPr>
            </w:pPr>
            <w:r>
              <w:rPr>
                <w:sz w:val="28"/>
                <w:szCs w:val="28"/>
              </w:rPr>
              <w:t>Reviewed</w:t>
            </w:r>
          </w:p>
        </w:tc>
        <w:tc>
          <w:tcPr>
            <w:tcW w:w="1804" w:type="dxa"/>
          </w:tcPr>
          <w:p w14:paraId="7045CEFD" w14:textId="77777777" w:rsidR="00344EB4" w:rsidRDefault="00344EB4" w:rsidP="003747A6">
            <w:pPr>
              <w:rPr>
                <w:sz w:val="28"/>
                <w:szCs w:val="28"/>
              </w:rPr>
            </w:pPr>
            <w:r>
              <w:rPr>
                <w:sz w:val="28"/>
                <w:szCs w:val="28"/>
              </w:rPr>
              <w:t>Approved</w:t>
            </w:r>
          </w:p>
        </w:tc>
      </w:tr>
      <w:tr w:rsidR="00344EB4" w14:paraId="6BDDB1D3" w14:textId="77777777" w:rsidTr="00344EB4">
        <w:tc>
          <w:tcPr>
            <w:tcW w:w="1696" w:type="dxa"/>
          </w:tcPr>
          <w:p w14:paraId="6C7BD25A" w14:textId="338BB1EC" w:rsidR="00344EB4" w:rsidRDefault="00344EB4" w:rsidP="003747A6">
            <w:pPr>
              <w:rPr>
                <w:sz w:val="28"/>
                <w:szCs w:val="28"/>
              </w:rPr>
            </w:pPr>
            <w:r>
              <w:rPr>
                <w:sz w:val="28"/>
                <w:szCs w:val="28"/>
              </w:rPr>
              <w:t>Version 1</w:t>
            </w:r>
          </w:p>
        </w:tc>
        <w:tc>
          <w:tcPr>
            <w:tcW w:w="2127" w:type="dxa"/>
          </w:tcPr>
          <w:p w14:paraId="6541BD88" w14:textId="0E27727A" w:rsidR="00344EB4" w:rsidRDefault="00344EB4" w:rsidP="003747A6">
            <w:pPr>
              <w:rPr>
                <w:sz w:val="28"/>
                <w:szCs w:val="28"/>
              </w:rPr>
            </w:pPr>
            <w:r>
              <w:rPr>
                <w:sz w:val="28"/>
                <w:szCs w:val="28"/>
              </w:rPr>
              <w:t>Annual Review</w:t>
            </w:r>
          </w:p>
        </w:tc>
        <w:tc>
          <w:tcPr>
            <w:tcW w:w="1586" w:type="dxa"/>
          </w:tcPr>
          <w:p w14:paraId="2610E78B" w14:textId="22518F94" w:rsidR="00344EB4" w:rsidRDefault="00344EB4" w:rsidP="003747A6">
            <w:pPr>
              <w:rPr>
                <w:sz w:val="28"/>
                <w:szCs w:val="28"/>
              </w:rPr>
            </w:pPr>
            <w:r>
              <w:rPr>
                <w:sz w:val="28"/>
                <w:szCs w:val="28"/>
              </w:rPr>
              <w:t>12/04/2013</w:t>
            </w:r>
          </w:p>
        </w:tc>
        <w:tc>
          <w:tcPr>
            <w:tcW w:w="1803" w:type="dxa"/>
          </w:tcPr>
          <w:p w14:paraId="718F90DE" w14:textId="0A2E5028" w:rsidR="00344EB4" w:rsidRDefault="00503656" w:rsidP="003747A6">
            <w:pPr>
              <w:rPr>
                <w:sz w:val="28"/>
                <w:szCs w:val="28"/>
              </w:rPr>
            </w:pPr>
            <w:r>
              <w:rPr>
                <w:sz w:val="28"/>
                <w:szCs w:val="28"/>
              </w:rPr>
              <w:t>04/05/2021</w:t>
            </w:r>
          </w:p>
        </w:tc>
        <w:tc>
          <w:tcPr>
            <w:tcW w:w="1804" w:type="dxa"/>
          </w:tcPr>
          <w:p w14:paraId="2BB57888" w14:textId="4F47C238" w:rsidR="00344EB4" w:rsidRDefault="00503656" w:rsidP="003747A6">
            <w:pPr>
              <w:rPr>
                <w:sz w:val="28"/>
                <w:szCs w:val="28"/>
              </w:rPr>
            </w:pPr>
            <w:r>
              <w:rPr>
                <w:sz w:val="28"/>
                <w:szCs w:val="28"/>
              </w:rPr>
              <w:t>04/05/2021</w:t>
            </w:r>
          </w:p>
        </w:tc>
      </w:tr>
      <w:tr w:rsidR="00344EB4" w14:paraId="75B41482" w14:textId="77777777" w:rsidTr="00344EB4">
        <w:tc>
          <w:tcPr>
            <w:tcW w:w="1696" w:type="dxa"/>
          </w:tcPr>
          <w:p w14:paraId="32FBE33D" w14:textId="77777777" w:rsidR="00344EB4" w:rsidRDefault="00344EB4" w:rsidP="003747A6">
            <w:pPr>
              <w:rPr>
                <w:sz w:val="28"/>
                <w:szCs w:val="28"/>
              </w:rPr>
            </w:pPr>
          </w:p>
        </w:tc>
        <w:tc>
          <w:tcPr>
            <w:tcW w:w="2127" w:type="dxa"/>
          </w:tcPr>
          <w:p w14:paraId="0449711B" w14:textId="77777777" w:rsidR="00344EB4" w:rsidRDefault="00344EB4" w:rsidP="003747A6">
            <w:pPr>
              <w:rPr>
                <w:sz w:val="28"/>
                <w:szCs w:val="28"/>
              </w:rPr>
            </w:pPr>
          </w:p>
        </w:tc>
        <w:tc>
          <w:tcPr>
            <w:tcW w:w="1586" w:type="dxa"/>
          </w:tcPr>
          <w:p w14:paraId="1084D966" w14:textId="77777777" w:rsidR="00344EB4" w:rsidRDefault="00344EB4" w:rsidP="003747A6">
            <w:pPr>
              <w:rPr>
                <w:sz w:val="28"/>
                <w:szCs w:val="28"/>
              </w:rPr>
            </w:pPr>
          </w:p>
        </w:tc>
        <w:tc>
          <w:tcPr>
            <w:tcW w:w="1803" w:type="dxa"/>
          </w:tcPr>
          <w:p w14:paraId="5394E78F" w14:textId="77777777" w:rsidR="00344EB4" w:rsidRDefault="00344EB4" w:rsidP="003747A6">
            <w:pPr>
              <w:rPr>
                <w:sz w:val="28"/>
                <w:szCs w:val="28"/>
              </w:rPr>
            </w:pPr>
          </w:p>
        </w:tc>
        <w:tc>
          <w:tcPr>
            <w:tcW w:w="1804" w:type="dxa"/>
          </w:tcPr>
          <w:p w14:paraId="12843A0F" w14:textId="77777777" w:rsidR="00344EB4" w:rsidRDefault="00344EB4" w:rsidP="003747A6">
            <w:pPr>
              <w:rPr>
                <w:sz w:val="28"/>
                <w:szCs w:val="28"/>
              </w:rPr>
            </w:pPr>
          </w:p>
        </w:tc>
      </w:tr>
      <w:tr w:rsidR="00344EB4" w14:paraId="67A6E241" w14:textId="77777777" w:rsidTr="00344EB4">
        <w:tc>
          <w:tcPr>
            <w:tcW w:w="1696" w:type="dxa"/>
          </w:tcPr>
          <w:p w14:paraId="1883AEDF" w14:textId="77777777" w:rsidR="00344EB4" w:rsidRDefault="00344EB4" w:rsidP="003747A6">
            <w:pPr>
              <w:rPr>
                <w:sz w:val="28"/>
                <w:szCs w:val="28"/>
              </w:rPr>
            </w:pPr>
          </w:p>
        </w:tc>
        <w:tc>
          <w:tcPr>
            <w:tcW w:w="2127" w:type="dxa"/>
          </w:tcPr>
          <w:p w14:paraId="0ED86D5E" w14:textId="77777777" w:rsidR="00344EB4" w:rsidRDefault="00344EB4" w:rsidP="003747A6">
            <w:pPr>
              <w:rPr>
                <w:sz w:val="28"/>
                <w:szCs w:val="28"/>
              </w:rPr>
            </w:pPr>
          </w:p>
        </w:tc>
        <w:tc>
          <w:tcPr>
            <w:tcW w:w="1586" w:type="dxa"/>
          </w:tcPr>
          <w:p w14:paraId="1FE86626" w14:textId="77777777" w:rsidR="00344EB4" w:rsidRDefault="00344EB4" w:rsidP="003747A6">
            <w:pPr>
              <w:rPr>
                <w:sz w:val="28"/>
                <w:szCs w:val="28"/>
              </w:rPr>
            </w:pPr>
          </w:p>
        </w:tc>
        <w:tc>
          <w:tcPr>
            <w:tcW w:w="1803" w:type="dxa"/>
          </w:tcPr>
          <w:p w14:paraId="31A37FB8" w14:textId="77777777" w:rsidR="00344EB4" w:rsidRDefault="00344EB4" w:rsidP="003747A6">
            <w:pPr>
              <w:rPr>
                <w:sz w:val="28"/>
                <w:szCs w:val="28"/>
              </w:rPr>
            </w:pPr>
          </w:p>
        </w:tc>
        <w:tc>
          <w:tcPr>
            <w:tcW w:w="1804" w:type="dxa"/>
          </w:tcPr>
          <w:p w14:paraId="68678D5C" w14:textId="77777777" w:rsidR="00344EB4" w:rsidRDefault="00344EB4" w:rsidP="003747A6">
            <w:pPr>
              <w:rPr>
                <w:sz w:val="28"/>
                <w:szCs w:val="28"/>
              </w:rPr>
            </w:pPr>
          </w:p>
        </w:tc>
      </w:tr>
    </w:tbl>
    <w:p w14:paraId="0842BDAB" w14:textId="77777777" w:rsidR="00344EB4" w:rsidRPr="005E619A" w:rsidRDefault="00344EB4" w:rsidP="00344EB4">
      <w:pPr>
        <w:rPr>
          <w:sz w:val="28"/>
          <w:szCs w:val="28"/>
        </w:rPr>
      </w:pPr>
    </w:p>
    <w:p w14:paraId="0EFF0D0A" w14:textId="77777777" w:rsidR="00344EB4" w:rsidRDefault="00344EB4">
      <w:pPr>
        <w:spacing w:after="189" w:line="259" w:lineRule="auto"/>
        <w:ind w:left="32"/>
        <w:jc w:val="center"/>
        <w:rPr>
          <w:b/>
          <w:sz w:val="28"/>
        </w:rPr>
      </w:pPr>
    </w:p>
    <w:p w14:paraId="1103AF94" w14:textId="77777777" w:rsidR="00503656" w:rsidRDefault="00503656">
      <w:pPr>
        <w:spacing w:after="120"/>
        <w:rPr>
          <w:b/>
          <w:sz w:val="28"/>
        </w:rPr>
      </w:pPr>
      <w:r>
        <w:rPr>
          <w:b/>
          <w:sz w:val="28"/>
        </w:rPr>
        <w:br w:type="page"/>
      </w:r>
    </w:p>
    <w:p w14:paraId="079D2737" w14:textId="0EF2BB2F" w:rsidR="0097278F" w:rsidRDefault="00F30E80" w:rsidP="00503656">
      <w:pPr>
        <w:pStyle w:val="Title"/>
      </w:pPr>
      <w:r>
        <w:lastRenderedPageBreak/>
        <w:t xml:space="preserve">HILTON PARISH COUNCIL CORRESPONDENCE POLICY </w:t>
      </w:r>
    </w:p>
    <w:p w14:paraId="26276C42" w14:textId="41A6E90F" w:rsidR="0097278F" w:rsidRDefault="0097278F">
      <w:pPr>
        <w:spacing w:after="218" w:line="259" w:lineRule="auto"/>
      </w:pPr>
    </w:p>
    <w:p w14:paraId="5170D4E0" w14:textId="77777777" w:rsidR="0097278F" w:rsidRDefault="00F30E80">
      <w:pPr>
        <w:pStyle w:val="Heading1"/>
        <w:ind w:left="-5"/>
      </w:pPr>
      <w:r>
        <w:t xml:space="preserve">Introduction and Description of Terms </w:t>
      </w:r>
    </w:p>
    <w:p w14:paraId="70A3785A" w14:textId="77777777" w:rsidR="0097278F" w:rsidRDefault="00F30E80">
      <w:pPr>
        <w:ind w:left="-15"/>
      </w:pPr>
      <w:r>
        <w:t xml:space="preserve">The Parish Council welcomes correspondence from parishioners.   </w:t>
      </w:r>
    </w:p>
    <w:p w14:paraId="4A4D12E0" w14:textId="77777777" w:rsidR="0097278F" w:rsidRDefault="00F30E80">
      <w:pPr>
        <w:ind w:left="-15"/>
      </w:pPr>
      <w:r>
        <w:t xml:space="preserve">The Correspondence Policy for the Parish Council covers two broad areas. The first relates to general correspondence, the second relates to frequent and/or vexatious correspondents. </w:t>
      </w:r>
    </w:p>
    <w:p w14:paraId="09D9F0B9" w14:textId="77777777" w:rsidR="0097278F" w:rsidRDefault="00F30E80">
      <w:pPr>
        <w:ind w:left="-15"/>
      </w:pPr>
      <w:r>
        <w:t xml:space="preserve">Frequent correspondents are those who in the opinion of the Clerk and the Chairman (and in his/her absence, vice-chair) have consumed an excessive amount of the council’s time. Vexatious correspondents are those who continue to raise subjects that have already been dealt with, who raise matters that are petty or correspondents who cause distress or annoyance. </w:t>
      </w:r>
    </w:p>
    <w:p w14:paraId="08F4986A" w14:textId="77777777" w:rsidR="0097278F" w:rsidRDefault="00F30E80">
      <w:pPr>
        <w:ind w:left="-15"/>
      </w:pPr>
      <w:r>
        <w:t xml:space="preserve">It is accepted that correspondence can be received in various forms. This policy refers to correspondence received by letter, electronic mail/messaging, through publishing in local newspapers and magazines and via the telephone. </w:t>
      </w:r>
    </w:p>
    <w:p w14:paraId="2A87DE9F" w14:textId="77777777" w:rsidR="0097278F" w:rsidRDefault="00F30E80">
      <w:pPr>
        <w:spacing w:after="218" w:line="259" w:lineRule="auto"/>
      </w:pPr>
      <w:r>
        <w:t xml:space="preserve"> </w:t>
      </w:r>
    </w:p>
    <w:p w14:paraId="39743182" w14:textId="77777777" w:rsidR="0097278F" w:rsidRDefault="00F30E80">
      <w:pPr>
        <w:pStyle w:val="Heading1"/>
        <w:ind w:left="-5"/>
      </w:pPr>
      <w:r>
        <w:t xml:space="preserve">General Correspondence </w:t>
      </w:r>
    </w:p>
    <w:p w14:paraId="399C2776" w14:textId="77777777" w:rsidR="0097278F" w:rsidRDefault="00F30E80">
      <w:pPr>
        <w:ind w:left="-15"/>
      </w:pPr>
      <w:r>
        <w:t xml:space="preserve">The Clerk to the Council and individual councillors will endeavour to reply to all correspondence no later than 15 working days from receipt. Where a subject matter requires further research that prevents a reply within 15 working days, then a holding reply will be issued within the initial 15-day period. </w:t>
      </w:r>
    </w:p>
    <w:p w14:paraId="36A2AE89" w14:textId="77777777" w:rsidR="0097278F" w:rsidRDefault="00F30E80">
      <w:pPr>
        <w:spacing w:after="213" w:line="259" w:lineRule="auto"/>
      </w:pPr>
      <w:r>
        <w:t xml:space="preserve"> </w:t>
      </w:r>
    </w:p>
    <w:p w14:paraId="1A0EA15A" w14:textId="77777777" w:rsidR="0097278F" w:rsidRDefault="00F30E80">
      <w:pPr>
        <w:pStyle w:val="Heading1"/>
        <w:ind w:left="-5"/>
      </w:pPr>
      <w:r>
        <w:t xml:space="preserve">Correspondence received from Persistent and/or Vexatious Correspondents </w:t>
      </w:r>
    </w:p>
    <w:p w14:paraId="3E50BC88" w14:textId="77777777" w:rsidR="0097278F" w:rsidRDefault="00F30E80">
      <w:pPr>
        <w:ind w:left="-15"/>
      </w:pPr>
      <w:r>
        <w:t xml:space="preserve">Where an individual or individuals have been identified and named as Persistent and/or Vexatious Correspondents (see Introduction and Description of Terms and Note 1), the Council will place them on a register. The Clerk will then inform the individual(s) that they have been placed on the register, send them a copy of this policy and implement the following measures: </w:t>
      </w:r>
    </w:p>
    <w:p w14:paraId="3A5D8825" w14:textId="77777777" w:rsidR="0097278F" w:rsidRDefault="00F30E80">
      <w:pPr>
        <w:numPr>
          <w:ilvl w:val="0"/>
          <w:numId w:val="1"/>
        </w:numPr>
        <w:ind w:hanging="360"/>
      </w:pPr>
      <w:r>
        <w:t xml:space="preserve">The named individual(s) will only be permitted to correspond with the PC on matters relating to the PC through one route. That route will be by letter sent through the Royal Mail addressed to the Clerk to the PC. They will not be permitted to communicate directly with individual councillors. </w:t>
      </w:r>
    </w:p>
    <w:p w14:paraId="313CCC02" w14:textId="77777777" w:rsidR="0097278F" w:rsidRDefault="00F30E80">
      <w:pPr>
        <w:spacing w:line="259" w:lineRule="auto"/>
        <w:ind w:left="720"/>
      </w:pPr>
      <w:r>
        <w:t xml:space="preserve"> </w:t>
      </w:r>
    </w:p>
    <w:p w14:paraId="046B3708" w14:textId="77777777" w:rsidR="0097278F" w:rsidRDefault="00F30E80">
      <w:pPr>
        <w:numPr>
          <w:ilvl w:val="0"/>
          <w:numId w:val="1"/>
        </w:numPr>
        <w:ind w:hanging="360"/>
      </w:pPr>
      <w:r>
        <w:t xml:space="preserve">The named individual(s) shall not attempt to correspond with the Clerk nor with individual councillors on matters relating to the PC through electronic mail, through publishing in local newspapers and magazines or via the telephone. Should they attempt to do so, neither the Clerk nor councillors will be under any obligation to respond. </w:t>
      </w:r>
    </w:p>
    <w:p w14:paraId="202ADA44" w14:textId="77777777" w:rsidR="0097278F" w:rsidRDefault="00F30E80">
      <w:pPr>
        <w:spacing w:line="259" w:lineRule="auto"/>
        <w:ind w:left="720"/>
      </w:pPr>
      <w:r>
        <w:lastRenderedPageBreak/>
        <w:t xml:space="preserve"> </w:t>
      </w:r>
    </w:p>
    <w:p w14:paraId="27042A90" w14:textId="77777777" w:rsidR="0097278F" w:rsidRDefault="00F30E80">
      <w:pPr>
        <w:spacing w:after="244" w:line="259" w:lineRule="auto"/>
        <w:ind w:left="720"/>
      </w:pPr>
      <w:r>
        <w:t xml:space="preserve"> </w:t>
      </w:r>
      <w:r>
        <w:tab/>
        <w:t xml:space="preserve"> </w:t>
      </w:r>
    </w:p>
    <w:p w14:paraId="229F6ED8" w14:textId="77777777" w:rsidR="00344EB4" w:rsidRDefault="00344EB4">
      <w:pPr>
        <w:spacing w:after="3" w:line="259" w:lineRule="auto"/>
        <w:ind w:left="-5" w:hanging="10"/>
        <w:rPr>
          <w:rFonts w:ascii="Calibri" w:eastAsia="Calibri" w:hAnsi="Calibri" w:cs="Calibri"/>
          <w:color w:val="404040"/>
          <w:sz w:val="22"/>
        </w:rPr>
      </w:pPr>
    </w:p>
    <w:p w14:paraId="198C6F41" w14:textId="4F44EF5C" w:rsidR="0097278F" w:rsidRDefault="00F30E80">
      <w:pPr>
        <w:spacing w:after="3" w:line="259" w:lineRule="auto"/>
        <w:ind w:left="-5" w:hanging="10"/>
      </w:pPr>
      <w:r>
        <w:rPr>
          <w:rFonts w:ascii="Calibri" w:eastAsia="Calibri" w:hAnsi="Calibri" w:cs="Calibri"/>
          <w:color w:val="404040"/>
          <w:sz w:val="22"/>
        </w:rPr>
        <w:tab/>
        <w:t xml:space="preserve">   </w:t>
      </w:r>
    </w:p>
    <w:p w14:paraId="3B94D1A7" w14:textId="77777777" w:rsidR="0097278F" w:rsidRDefault="00F30E80">
      <w:pPr>
        <w:numPr>
          <w:ilvl w:val="0"/>
          <w:numId w:val="1"/>
        </w:numPr>
        <w:spacing w:after="12"/>
        <w:ind w:hanging="360"/>
      </w:pPr>
      <w:r>
        <w:t xml:space="preserve">The Clerk will endeavour to reply to such correspondence no later than 15 working days. </w:t>
      </w:r>
    </w:p>
    <w:p w14:paraId="573BC09E" w14:textId="77777777" w:rsidR="0097278F" w:rsidRDefault="00F30E80">
      <w:pPr>
        <w:spacing w:line="259" w:lineRule="auto"/>
        <w:ind w:left="720"/>
      </w:pPr>
      <w:r>
        <w:t xml:space="preserve"> </w:t>
      </w:r>
    </w:p>
    <w:p w14:paraId="2A595C25" w14:textId="77777777" w:rsidR="0097278F" w:rsidRDefault="00F30E80">
      <w:pPr>
        <w:numPr>
          <w:ilvl w:val="0"/>
          <w:numId w:val="1"/>
        </w:numPr>
        <w:ind w:hanging="360"/>
      </w:pPr>
      <w:r>
        <w:t xml:space="preserve">Correspondence that contains enquiries that have already been dealt with fully by the Clerk (repetitive enquiries) will not receive a further response. Only correspondence that raises new issues will receive a reply. </w:t>
      </w:r>
    </w:p>
    <w:p w14:paraId="4130BCC0" w14:textId="77777777" w:rsidR="0097278F" w:rsidRDefault="00F30E80">
      <w:pPr>
        <w:spacing w:line="259" w:lineRule="auto"/>
        <w:ind w:left="720"/>
      </w:pPr>
      <w:r>
        <w:t xml:space="preserve"> </w:t>
      </w:r>
    </w:p>
    <w:p w14:paraId="05C5EC44" w14:textId="77777777" w:rsidR="0097278F" w:rsidRDefault="00F30E80">
      <w:pPr>
        <w:spacing w:after="213" w:line="259" w:lineRule="auto"/>
        <w:ind w:left="720"/>
      </w:pPr>
      <w:r>
        <w:t xml:space="preserve"> </w:t>
      </w:r>
    </w:p>
    <w:p w14:paraId="1505B05E" w14:textId="77777777" w:rsidR="0097278F" w:rsidRDefault="00F30E80" w:rsidP="00503656">
      <w:pPr>
        <w:pStyle w:val="Heading2"/>
      </w:pPr>
      <w:r>
        <w:rPr>
          <w:u w:color="000000"/>
        </w:rPr>
        <w:t>Note 1</w:t>
      </w:r>
      <w:r>
        <w:t xml:space="preserve"> </w:t>
      </w:r>
    </w:p>
    <w:p w14:paraId="164BBA74" w14:textId="77777777" w:rsidR="0097278F" w:rsidRDefault="00F30E80">
      <w:pPr>
        <w:ind w:left="-15"/>
      </w:pPr>
      <w:r>
        <w:t xml:space="preserve">The following procedure will be implemented to place individuals on the Register of Persistent and/or Vexatious Correspondents: </w:t>
      </w:r>
    </w:p>
    <w:p w14:paraId="723C9F5F" w14:textId="77777777" w:rsidR="0097278F" w:rsidRDefault="00F30E80">
      <w:pPr>
        <w:numPr>
          <w:ilvl w:val="0"/>
          <w:numId w:val="2"/>
        </w:numPr>
        <w:ind w:hanging="360"/>
      </w:pPr>
      <w:r>
        <w:t xml:space="preserve">Persistent and/or Vexatious Correspondents can only be nominated following a joint consultation between the Clerk and the Chairman. Should the Chairman be unavailable then the Vice Chairman will deputise for him/her. </w:t>
      </w:r>
    </w:p>
    <w:p w14:paraId="1ABAF84C" w14:textId="77777777" w:rsidR="0097278F" w:rsidRDefault="00F30E80">
      <w:pPr>
        <w:spacing w:line="259" w:lineRule="auto"/>
        <w:ind w:left="360"/>
      </w:pPr>
      <w:r>
        <w:t xml:space="preserve"> </w:t>
      </w:r>
    </w:p>
    <w:p w14:paraId="11D44DF5" w14:textId="77777777" w:rsidR="0097278F" w:rsidRDefault="00F30E80">
      <w:pPr>
        <w:numPr>
          <w:ilvl w:val="0"/>
          <w:numId w:val="2"/>
        </w:numPr>
        <w:ind w:hanging="360"/>
      </w:pPr>
      <w:r>
        <w:t xml:space="preserve">That nomination will then be put to the Council, voted on and only accepted provided there is a majority decision. </w:t>
      </w:r>
    </w:p>
    <w:p w14:paraId="18BF7B62" w14:textId="77777777" w:rsidR="0097278F" w:rsidRDefault="00F30E80">
      <w:pPr>
        <w:spacing w:line="259" w:lineRule="auto"/>
        <w:ind w:left="360"/>
      </w:pPr>
      <w:r>
        <w:t xml:space="preserve"> </w:t>
      </w:r>
    </w:p>
    <w:p w14:paraId="04ED2E1B" w14:textId="77777777" w:rsidR="0097278F" w:rsidRDefault="00F30E80">
      <w:pPr>
        <w:numPr>
          <w:ilvl w:val="0"/>
          <w:numId w:val="2"/>
        </w:numPr>
        <w:ind w:hanging="360"/>
      </w:pPr>
      <w:r>
        <w:t xml:space="preserve">The register of individuals identified as Persistent and/or Vexatious Correspondents will be held by the Clerk. </w:t>
      </w:r>
    </w:p>
    <w:p w14:paraId="1A0E6A92" w14:textId="77777777" w:rsidR="0097278F" w:rsidRDefault="00F30E80">
      <w:pPr>
        <w:spacing w:line="259" w:lineRule="auto"/>
        <w:ind w:left="360"/>
      </w:pPr>
      <w:r>
        <w:t xml:space="preserve"> </w:t>
      </w:r>
    </w:p>
    <w:p w14:paraId="361B35B0" w14:textId="2573E34C" w:rsidR="0097278F" w:rsidRDefault="00F30E80">
      <w:pPr>
        <w:numPr>
          <w:ilvl w:val="0"/>
          <w:numId w:val="2"/>
        </w:numPr>
        <w:ind w:hanging="360"/>
      </w:pPr>
      <w:r>
        <w:t xml:space="preserve">At any time, any councillor or the Clerk can request that a named individual be removed from the Register of Persistent and/or Vexatious Correspondents. That request will then be put to the next monthly meeting of the </w:t>
      </w:r>
      <w:r w:rsidR="00503656">
        <w:t>Council,</w:t>
      </w:r>
      <w:r>
        <w:t xml:space="preserve"> but that individual’s name will only be removed by a majority decision. </w:t>
      </w:r>
    </w:p>
    <w:p w14:paraId="4CE761D3" w14:textId="77777777" w:rsidR="0097278F" w:rsidRDefault="00F30E80">
      <w:pPr>
        <w:spacing w:line="259" w:lineRule="auto"/>
        <w:ind w:left="360"/>
      </w:pPr>
      <w:r>
        <w:t xml:space="preserve"> </w:t>
      </w:r>
    </w:p>
    <w:p w14:paraId="63A0C107" w14:textId="77777777" w:rsidR="0097278F" w:rsidRDefault="00F30E80">
      <w:pPr>
        <w:numPr>
          <w:ilvl w:val="0"/>
          <w:numId w:val="2"/>
        </w:numPr>
        <w:ind w:hanging="360"/>
      </w:pPr>
      <w:r>
        <w:t xml:space="preserve">Whenever the Council discusses either the placement on or the removal of an individual from the Register of Persistent and/or Vexatious Correspondents, members of the public will be excluded from the meeting. The minutes of the meeting will not name that individual. </w:t>
      </w:r>
    </w:p>
    <w:p w14:paraId="50DD7649" w14:textId="6E64DED5" w:rsidR="0097278F" w:rsidRDefault="00F30E80" w:rsidP="00344EB4">
      <w:pPr>
        <w:spacing w:after="4615" w:line="259" w:lineRule="auto"/>
      </w:pPr>
      <w:r>
        <w:t xml:space="preserve"> </w:t>
      </w:r>
      <w:r>
        <w:rPr>
          <w:rFonts w:ascii="Calibri" w:eastAsia="Calibri" w:hAnsi="Calibri" w:cs="Calibri"/>
          <w:color w:val="404040"/>
          <w:sz w:val="22"/>
        </w:rPr>
        <w:t xml:space="preserve">   </w:t>
      </w:r>
    </w:p>
    <w:sectPr w:rsidR="0097278F" w:rsidSect="00503656">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E7089"/>
    <w:multiLevelType w:val="hybridMultilevel"/>
    <w:tmpl w:val="FD90355A"/>
    <w:lvl w:ilvl="0" w:tplc="3426EB76">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CCF2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90C5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B4D7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6E5E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5282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BA3F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7284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E23F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BBA4977"/>
    <w:multiLevelType w:val="hybridMultilevel"/>
    <w:tmpl w:val="58008324"/>
    <w:lvl w:ilvl="0" w:tplc="687277DC">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CC6DE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50816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6202D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E6E62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BA355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F842B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5AB3F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DC5CA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78F"/>
    <w:rsid w:val="00344EB4"/>
    <w:rsid w:val="00503656"/>
    <w:rsid w:val="00645F67"/>
    <w:rsid w:val="008B34A1"/>
    <w:rsid w:val="0097278F"/>
    <w:rsid w:val="00F30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4C240"/>
  <w15:docId w15:val="{BC3309D3-A07C-462B-93A5-80AC2A2A0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656"/>
    <w:pPr>
      <w:spacing w:after="0"/>
    </w:pPr>
    <w:rPr>
      <w:sz w:val="24"/>
    </w:rPr>
  </w:style>
  <w:style w:type="paragraph" w:styleId="Heading1">
    <w:name w:val="heading 1"/>
    <w:basedOn w:val="Normal"/>
    <w:next w:val="Normal"/>
    <w:link w:val="Heading1Char"/>
    <w:uiPriority w:val="9"/>
    <w:qFormat/>
    <w:rsid w:val="00503656"/>
    <w:pPr>
      <w:keepNext/>
      <w:keepLines/>
      <w:spacing w:before="320" w:line="240" w:lineRule="auto"/>
      <w:outlineLvl w:val="0"/>
    </w:pPr>
    <w:rPr>
      <w:rFonts w:asciiTheme="majorHAnsi" w:eastAsiaTheme="majorEastAsia" w:hAnsiTheme="majorHAnsi" w:cstheme="majorBidi"/>
      <w:b/>
      <w:color w:val="2F5496" w:themeColor="accent1" w:themeShade="BF"/>
      <w:sz w:val="32"/>
      <w:szCs w:val="32"/>
      <w:u w:val="single"/>
    </w:rPr>
  </w:style>
  <w:style w:type="paragraph" w:styleId="Heading2">
    <w:name w:val="heading 2"/>
    <w:basedOn w:val="Normal"/>
    <w:next w:val="Normal"/>
    <w:link w:val="Heading2Char"/>
    <w:uiPriority w:val="9"/>
    <w:unhideWhenUsed/>
    <w:qFormat/>
    <w:rsid w:val="00503656"/>
    <w:pPr>
      <w:keepNext/>
      <w:keepLines/>
      <w:spacing w:before="80" w:line="240" w:lineRule="auto"/>
      <w:outlineLvl w:val="1"/>
    </w:pPr>
    <w:rPr>
      <w:rFonts w:asciiTheme="majorHAnsi" w:eastAsiaTheme="majorEastAsia" w:hAnsiTheme="majorHAnsi" w:cstheme="majorBidi"/>
      <w:b/>
      <w:color w:val="404040" w:themeColor="text1" w:themeTint="BF"/>
      <w:sz w:val="28"/>
      <w:szCs w:val="28"/>
      <w:u w:val="single"/>
    </w:rPr>
  </w:style>
  <w:style w:type="paragraph" w:styleId="Heading3">
    <w:name w:val="heading 3"/>
    <w:basedOn w:val="Normal"/>
    <w:next w:val="Normal"/>
    <w:link w:val="Heading3Char"/>
    <w:uiPriority w:val="9"/>
    <w:semiHidden/>
    <w:unhideWhenUsed/>
    <w:qFormat/>
    <w:rsid w:val="00503656"/>
    <w:pPr>
      <w:keepNext/>
      <w:keepLines/>
      <w:spacing w:before="40" w:line="240" w:lineRule="auto"/>
      <w:outlineLvl w:val="2"/>
    </w:pPr>
    <w:rPr>
      <w:rFonts w:asciiTheme="majorHAnsi" w:eastAsiaTheme="majorEastAsia" w:hAnsiTheme="majorHAnsi" w:cstheme="majorBidi"/>
      <w:color w:val="44546A" w:themeColor="text2"/>
      <w:sz w:val="28"/>
      <w:szCs w:val="24"/>
      <w:u w:val="single"/>
    </w:rPr>
  </w:style>
  <w:style w:type="paragraph" w:styleId="Heading4">
    <w:name w:val="heading 4"/>
    <w:basedOn w:val="Normal"/>
    <w:next w:val="Normal"/>
    <w:link w:val="Heading4Char"/>
    <w:uiPriority w:val="9"/>
    <w:semiHidden/>
    <w:unhideWhenUsed/>
    <w:qFormat/>
    <w:rsid w:val="00503656"/>
    <w:pPr>
      <w:keepNext/>
      <w:keepLines/>
      <w:spacing w:before="40"/>
      <w:outlineLvl w:val="3"/>
    </w:pPr>
    <w:rPr>
      <w:rFonts w:asciiTheme="majorHAnsi" w:eastAsiaTheme="majorEastAsia" w:hAnsiTheme="majorHAnsi" w:cstheme="majorBidi"/>
      <w:sz w:val="28"/>
      <w:szCs w:val="22"/>
    </w:rPr>
  </w:style>
  <w:style w:type="paragraph" w:styleId="Heading5">
    <w:name w:val="heading 5"/>
    <w:basedOn w:val="Normal"/>
    <w:next w:val="Normal"/>
    <w:link w:val="Heading5Char"/>
    <w:uiPriority w:val="9"/>
    <w:semiHidden/>
    <w:unhideWhenUsed/>
    <w:qFormat/>
    <w:rsid w:val="00503656"/>
    <w:pPr>
      <w:keepNext/>
      <w:keepLines/>
      <w:spacing w:before="40"/>
      <w:outlineLvl w:val="4"/>
    </w:pPr>
    <w:rPr>
      <w:rFonts w:asciiTheme="majorHAnsi" w:eastAsiaTheme="majorEastAsia" w:hAnsiTheme="majorHAnsi" w:cstheme="majorBidi"/>
      <w:color w:val="44546A" w:themeColor="text2"/>
      <w:sz w:val="26"/>
      <w:szCs w:val="22"/>
    </w:rPr>
  </w:style>
  <w:style w:type="paragraph" w:styleId="Heading6">
    <w:name w:val="heading 6"/>
    <w:basedOn w:val="Normal"/>
    <w:next w:val="Normal"/>
    <w:link w:val="Heading6Char"/>
    <w:uiPriority w:val="9"/>
    <w:semiHidden/>
    <w:unhideWhenUsed/>
    <w:qFormat/>
    <w:rsid w:val="00503656"/>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503656"/>
    <w:pPr>
      <w:keepNext/>
      <w:keepLines/>
      <w:spacing w:before="4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503656"/>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503656"/>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656"/>
    <w:rPr>
      <w:rFonts w:asciiTheme="majorHAnsi" w:eastAsiaTheme="majorEastAsia" w:hAnsiTheme="majorHAnsi" w:cstheme="majorBidi"/>
      <w:b/>
      <w:color w:val="2F5496" w:themeColor="accent1" w:themeShade="BF"/>
      <w:sz w:val="32"/>
      <w:szCs w:val="32"/>
      <w:u w:val="single"/>
    </w:rPr>
  </w:style>
  <w:style w:type="table" w:styleId="TableGrid">
    <w:name w:val="Table Grid"/>
    <w:basedOn w:val="TableNormal"/>
    <w:uiPriority w:val="39"/>
    <w:rsid w:val="00344EB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03656"/>
    <w:rPr>
      <w:rFonts w:asciiTheme="majorHAnsi" w:eastAsiaTheme="majorEastAsia" w:hAnsiTheme="majorHAnsi" w:cstheme="majorBidi"/>
      <w:b/>
      <w:color w:val="404040" w:themeColor="text1" w:themeTint="BF"/>
      <w:sz w:val="28"/>
      <w:szCs w:val="28"/>
      <w:u w:val="single"/>
    </w:rPr>
  </w:style>
  <w:style w:type="character" w:customStyle="1" w:styleId="Heading3Char">
    <w:name w:val="Heading 3 Char"/>
    <w:basedOn w:val="DefaultParagraphFont"/>
    <w:link w:val="Heading3"/>
    <w:uiPriority w:val="9"/>
    <w:semiHidden/>
    <w:rsid w:val="00503656"/>
    <w:rPr>
      <w:rFonts w:asciiTheme="majorHAnsi" w:eastAsiaTheme="majorEastAsia" w:hAnsiTheme="majorHAnsi" w:cstheme="majorBidi"/>
      <w:color w:val="44546A" w:themeColor="text2"/>
      <w:sz w:val="28"/>
      <w:szCs w:val="24"/>
      <w:u w:val="single"/>
    </w:rPr>
  </w:style>
  <w:style w:type="character" w:customStyle="1" w:styleId="Heading4Char">
    <w:name w:val="Heading 4 Char"/>
    <w:basedOn w:val="DefaultParagraphFont"/>
    <w:link w:val="Heading4"/>
    <w:uiPriority w:val="9"/>
    <w:semiHidden/>
    <w:rsid w:val="00503656"/>
    <w:rPr>
      <w:rFonts w:asciiTheme="majorHAnsi" w:eastAsiaTheme="majorEastAsia" w:hAnsiTheme="majorHAnsi" w:cstheme="majorBidi"/>
      <w:sz w:val="28"/>
      <w:szCs w:val="22"/>
    </w:rPr>
  </w:style>
  <w:style w:type="character" w:customStyle="1" w:styleId="Heading5Char">
    <w:name w:val="Heading 5 Char"/>
    <w:basedOn w:val="DefaultParagraphFont"/>
    <w:link w:val="Heading5"/>
    <w:uiPriority w:val="9"/>
    <w:semiHidden/>
    <w:rsid w:val="00503656"/>
    <w:rPr>
      <w:rFonts w:asciiTheme="majorHAnsi" w:eastAsiaTheme="majorEastAsia" w:hAnsiTheme="majorHAnsi" w:cstheme="majorBidi"/>
      <w:color w:val="44546A" w:themeColor="text2"/>
      <w:sz w:val="26"/>
      <w:szCs w:val="22"/>
    </w:rPr>
  </w:style>
  <w:style w:type="character" w:customStyle="1" w:styleId="Heading6Char">
    <w:name w:val="Heading 6 Char"/>
    <w:basedOn w:val="DefaultParagraphFont"/>
    <w:link w:val="Heading6"/>
    <w:uiPriority w:val="9"/>
    <w:semiHidden/>
    <w:rsid w:val="00503656"/>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503656"/>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503656"/>
    <w:rPr>
      <w:rFonts w:asciiTheme="majorHAnsi" w:eastAsiaTheme="majorEastAsia" w:hAnsiTheme="majorHAnsi" w:cstheme="majorBidi"/>
      <w:b/>
      <w:bCs/>
      <w:color w:val="44546A" w:themeColor="text2"/>
      <w:sz w:val="24"/>
    </w:rPr>
  </w:style>
  <w:style w:type="character" w:customStyle="1" w:styleId="Heading9Char">
    <w:name w:val="Heading 9 Char"/>
    <w:basedOn w:val="DefaultParagraphFont"/>
    <w:link w:val="Heading9"/>
    <w:uiPriority w:val="9"/>
    <w:semiHidden/>
    <w:rsid w:val="00503656"/>
    <w:rPr>
      <w:rFonts w:asciiTheme="majorHAnsi" w:eastAsiaTheme="majorEastAsia" w:hAnsiTheme="majorHAnsi" w:cstheme="majorBidi"/>
      <w:b/>
      <w:bCs/>
      <w:i/>
      <w:iCs/>
      <w:color w:val="44546A" w:themeColor="text2"/>
      <w:sz w:val="24"/>
    </w:rPr>
  </w:style>
  <w:style w:type="paragraph" w:styleId="Caption">
    <w:name w:val="caption"/>
    <w:basedOn w:val="Normal"/>
    <w:next w:val="Normal"/>
    <w:uiPriority w:val="35"/>
    <w:semiHidden/>
    <w:unhideWhenUsed/>
    <w:qFormat/>
    <w:rsid w:val="00503656"/>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503656"/>
    <w:pPr>
      <w:spacing w:line="240" w:lineRule="auto"/>
      <w:contextualSpacing/>
    </w:pPr>
    <w:rPr>
      <w:rFonts w:asciiTheme="majorHAnsi" w:eastAsiaTheme="majorEastAsia" w:hAnsiTheme="majorHAnsi" w:cstheme="majorBidi"/>
      <w:color w:val="4472C4" w:themeColor="accent1"/>
      <w:spacing w:val="-10"/>
      <w:sz w:val="40"/>
      <w:szCs w:val="56"/>
    </w:rPr>
  </w:style>
  <w:style w:type="character" w:customStyle="1" w:styleId="TitleChar">
    <w:name w:val="Title Char"/>
    <w:basedOn w:val="DefaultParagraphFont"/>
    <w:link w:val="Title"/>
    <w:uiPriority w:val="10"/>
    <w:rsid w:val="00503656"/>
    <w:rPr>
      <w:rFonts w:asciiTheme="majorHAnsi" w:eastAsiaTheme="majorEastAsia" w:hAnsiTheme="majorHAnsi" w:cstheme="majorBidi"/>
      <w:color w:val="4472C4" w:themeColor="accent1"/>
      <w:spacing w:val="-10"/>
      <w:sz w:val="40"/>
      <w:szCs w:val="56"/>
    </w:rPr>
  </w:style>
  <w:style w:type="paragraph" w:styleId="Subtitle">
    <w:name w:val="Subtitle"/>
    <w:basedOn w:val="Normal"/>
    <w:next w:val="Normal"/>
    <w:link w:val="SubtitleChar"/>
    <w:uiPriority w:val="11"/>
    <w:qFormat/>
    <w:rsid w:val="00503656"/>
    <w:pPr>
      <w:numPr>
        <w:ilvl w:val="1"/>
      </w:numPr>
      <w:spacing w:line="240" w:lineRule="auto"/>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503656"/>
    <w:rPr>
      <w:rFonts w:asciiTheme="majorHAnsi" w:eastAsiaTheme="majorEastAsia" w:hAnsiTheme="majorHAnsi" w:cstheme="majorBidi"/>
      <w:sz w:val="24"/>
      <w:szCs w:val="24"/>
    </w:rPr>
  </w:style>
  <w:style w:type="character" w:styleId="Strong">
    <w:name w:val="Strong"/>
    <w:basedOn w:val="DefaultParagraphFont"/>
    <w:uiPriority w:val="22"/>
    <w:qFormat/>
    <w:rsid w:val="00503656"/>
    <w:rPr>
      <w:b/>
      <w:bCs/>
    </w:rPr>
  </w:style>
  <w:style w:type="character" w:styleId="Emphasis">
    <w:name w:val="Emphasis"/>
    <w:basedOn w:val="DefaultParagraphFont"/>
    <w:uiPriority w:val="20"/>
    <w:qFormat/>
    <w:rsid w:val="00503656"/>
    <w:rPr>
      <w:i/>
      <w:iCs/>
    </w:rPr>
  </w:style>
  <w:style w:type="paragraph" w:styleId="NoSpacing">
    <w:name w:val="No Spacing"/>
    <w:uiPriority w:val="1"/>
    <w:qFormat/>
    <w:rsid w:val="00503656"/>
    <w:pPr>
      <w:spacing w:after="0" w:line="240" w:lineRule="auto"/>
    </w:pPr>
  </w:style>
  <w:style w:type="paragraph" w:styleId="ListParagraph">
    <w:name w:val="List Paragraph"/>
    <w:basedOn w:val="Normal"/>
    <w:uiPriority w:val="34"/>
    <w:qFormat/>
    <w:rsid w:val="00503656"/>
    <w:pPr>
      <w:ind w:left="720"/>
      <w:contextualSpacing/>
    </w:pPr>
  </w:style>
  <w:style w:type="paragraph" w:styleId="Quote">
    <w:name w:val="Quote"/>
    <w:basedOn w:val="Normal"/>
    <w:next w:val="Normal"/>
    <w:link w:val="QuoteChar"/>
    <w:uiPriority w:val="29"/>
    <w:qFormat/>
    <w:rsid w:val="0050365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503656"/>
    <w:rPr>
      <w:i/>
      <w:iCs/>
      <w:color w:val="404040" w:themeColor="text1" w:themeTint="BF"/>
      <w:sz w:val="24"/>
    </w:rPr>
  </w:style>
  <w:style w:type="paragraph" w:styleId="IntenseQuote">
    <w:name w:val="Intense Quote"/>
    <w:basedOn w:val="Normal"/>
    <w:next w:val="Normal"/>
    <w:link w:val="IntenseQuoteChar"/>
    <w:uiPriority w:val="30"/>
    <w:qFormat/>
    <w:rsid w:val="00503656"/>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503656"/>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503656"/>
    <w:rPr>
      <w:i/>
      <w:iCs/>
      <w:color w:val="404040" w:themeColor="text1" w:themeTint="BF"/>
    </w:rPr>
  </w:style>
  <w:style w:type="character" w:styleId="IntenseEmphasis">
    <w:name w:val="Intense Emphasis"/>
    <w:basedOn w:val="DefaultParagraphFont"/>
    <w:uiPriority w:val="21"/>
    <w:qFormat/>
    <w:rsid w:val="00503656"/>
    <w:rPr>
      <w:b/>
      <w:bCs/>
      <w:i/>
      <w:iCs/>
    </w:rPr>
  </w:style>
  <w:style w:type="character" w:styleId="SubtleReference">
    <w:name w:val="Subtle Reference"/>
    <w:basedOn w:val="DefaultParagraphFont"/>
    <w:uiPriority w:val="31"/>
    <w:qFormat/>
    <w:rsid w:val="0050365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03656"/>
    <w:rPr>
      <w:b/>
      <w:bCs/>
      <w:smallCaps/>
      <w:spacing w:val="5"/>
      <w:u w:val="single"/>
    </w:rPr>
  </w:style>
  <w:style w:type="character" w:styleId="BookTitle">
    <w:name w:val="Book Title"/>
    <w:basedOn w:val="DefaultParagraphFont"/>
    <w:uiPriority w:val="33"/>
    <w:qFormat/>
    <w:rsid w:val="00503656"/>
    <w:rPr>
      <w:b/>
      <w:bCs/>
      <w:smallCaps/>
    </w:rPr>
  </w:style>
  <w:style w:type="paragraph" w:styleId="TOCHeading">
    <w:name w:val="TOC Heading"/>
    <w:basedOn w:val="Heading1"/>
    <w:next w:val="Normal"/>
    <w:uiPriority w:val="39"/>
    <w:semiHidden/>
    <w:unhideWhenUsed/>
    <w:qFormat/>
    <w:rsid w:val="0050365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599</Words>
  <Characters>3420</Characters>
  <Application>Microsoft Office Word</Application>
  <DocSecurity>0</DocSecurity>
  <Lines>28</Lines>
  <Paragraphs>8</Paragraphs>
  <ScaleCrop>false</ScaleCrop>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CP 081013.docx</dc:title>
  <dc:subject/>
  <dc:creator>Nicola Webster</dc:creator>
  <cp:keywords/>
  <cp:lastModifiedBy>Nicola Webster</cp:lastModifiedBy>
  <cp:revision>3</cp:revision>
  <cp:lastPrinted>2021-05-07T12:03:00Z</cp:lastPrinted>
  <dcterms:created xsi:type="dcterms:W3CDTF">2021-05-07T12:02:00Z</dcterms:created>
  <dcterms:modified xsi:type="dcterms:W3CDTF">2021-05-07T12:03:00Z</dcterms:modified>
</cp:coreProperties>
</file>